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Default="0056663F" w:rsidP="002C73EA">
      <w:pPr>
        <w:jc w:val="center"/>
      </w:pPr>
      <w:r>
        <w:rPr>
          <w:rFonts w:ascii="Times New Roman" w:hAnsi="Times New Roman" w:cs="Times New Roman"/>
          <w:noProof/>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Default="0056663F" w:rsidP="002C73EA">
      <w:pPr>
        <w:jc w:val="center"/>
      </w:pPr>
    </w:p>
    <w:p w14:paraId="11642822" w14:textId="3CA5DE2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08094CAB" w:rsidR="002C73EA" w:rsidRPr="00AF4EDB" w:rsidRDefault="00150686" w:rsidP="002C73EA">
      <w:r w:rsidRPr="00150686">
        <w:t>Monday, January 17</w:t>
      </w:r>
      <w:r w:rsidR="002C73EA" w:rsidRPr="00150686">
        <w:t>, 202</w:t>
      </w:r>
      <w:r w:rsidRPr="00150686">
        <w:t>2</w:t>
      </w:r>
    </w:p>
    <w:p w14:paraId="38FE75EA" w14:textId="77777777" w:rsidR="002C73EA" w:rsidRPr="00AF4EDB" w:rsidRDefault="002C73EA" w:rsidP="002C73EA">
      <w:pPr>
        <w:rPr>
          <w:rStyle w:val="Hyperlink"/>
          <w:color w:val="auto"/>
        </w:rPr>
      </w:pPr>
      <w:r w:rsidRPr="00AF4EDB">
        <w:t>Contact: Dan Clayton-Luce</w:t>
      </w:r>
      <w:r w:rsidRPr="00AF4EDB">
        <w:br/>
      </w:r>
      <w:hyperlink r:id="rId9" w:history="1">
        <w:r w:rsidRPr="00AF4EDB">
          <w:rPr>
            <w:rStyle w:val="Hyperlink"/>
          </w:rPr>
          <w:t>dan@henryusa.com</w:t>
        </w:r>
      </w:hyperlink>
    </w:p>
    <w:p w14:paraId="14FE554C" w14:textId="77777777" w:rsidR="002C73EA" w:rsidRPr="00AF4EDB" w:rsidRDefault="00F56B0B" w:rsidP="002C73EA">
      <w:hyperlink r:id="rId10" w:history="1"/>
      <w:r w:rsidR="002C73EA" w:rsidRPr="00AF4EDB">
        <w:t>(919) 818-2052</w:t>
      </w:r>
    </w:p>
    <w:p w14:paraId="7C1AFC6D" w14:textId="77777777" w:rsidR="002C73EA" w:rsidRPr="00CC7772" w:rsidRDefault="002C73EA" w:rsidP="002C73EA">
      <w:pPr>
        <w:rPr>
          <w:sz w:val="20"/>
          <w:szCs w:val="20"/>
        </w:rPr>
      </w:pPr>
    </w:p>
    <w:p w14:paraId="328791CF" w14:textId="4B3B731D" w:rsidR="002C73EA" w:rsidRDefault="009751F0" w:rsidP="002C73EA">
      <w:pPr>
        <w:jc w:val="center"/>
        <w:rPr>
          <w:b/>
          <w:bCs/>
          <w:sz w:val="24"/>
          <w:szCs w:val="24"/>
        </w:rPr>
      </w:pPr>
      <w:r w:rsidRPr="009751F0">
        <w:rPr>
          <w:b/>
          <w:bCs/>
          <w:sz w:val="24"/>
          <w:szCs w:val="24"/>
        </w:rPr>
        <w:t>Henry Repeating Arms Introduces Long Ranger Express and Brass Axe .410</w:t>
      </w:r>
    </w:p>
    <w:p w14:paraId="42BBFFD1" w14:textId="77777777" w:rsidR="009751F0" w:rsidRDefault="009751F0" w:rsidP="002C73EA">
      <w:pPr>
        <w:jc w:val="center"/>
        <w:rPr>
          <w:rFonts w:ascii="Times New Roman" w:hAnsi="Times New Roman" w:cs="Times New Roman"/>
          <w:b/>
          <w:bCs/>
          <w:sz w:val="28"/>
          <w:szCs w:val="28"/>
        </w:rPr>
      </w:pPr>
    </w:p>
    <w:p w14:paraId="27052CCE" w14:textId="77777777" w:rsidR="002D569D" w:rsidRPr="002D569D" w:rsidRDefault="002C73EA" w:rsidP="002D569D">
      <w:pPr>
        <w:widowControl w:val="0"/>
        <w:autoSpaceDE w:val="0"/>
        <w:autoSpaceDN w:val="0"/>
        <w:adjustRightInd w:val="0"/>
        <w:rPr>
          <w:rStyle w:val="headlinestyle1"/>
        </w:rPr>
      </w:pPr>
      <w:r w:rsidRPr="00150686">
        <w:rPr>
          <w:rStyle w:val="headlinestyle1"/>
          <w:b/>
          <w:bCs/>
        </w:rPr>
        <w:t xml:space="preserve">RICE LAKE, WI, </w:t>
      </w:r>
      <w:r w:rsidR="00150686" w:rsidRPr="00150686">
        <w:rPr>
          <w:rStyle w:val="headlinestyle1"/>
          <w:b/>
          <w:bCs/>
        </w:rPr>
        <w:t>Jan. 17</w:t>
      </w:r>
      <w:r w:rsidRPr="00150686">
        <w:rPr>
          <w:rStyle w:val="headlinestyle1"/>
          <w:b/>
          <w:bCs/>
        </w:rPr>
        <w:t>, 202</w:t>
      </w:r>
      <w:r w:rsidR="00150686" w:rsidRPr="00150686">
        <w:rPr>
          <w:rStyle w:val="headlinestyle1"/>
          <w:b/>
          <w:bCs/>
        </w:rPr>
        <w:t>2</w:t>
      </w:r>
      <w:r>
        <w:rPr>
          <w:rStyle w:val="headlinestyle1"/>
          <w:b/>
          <w:bCs/>
        </w:rPr>
        <w:t xml:space="preserve"> – </w:t>
      </w:r>
      <w:r w:rsidR="002D569D" w:rsidRPr="002D569D">
        <w:rPr>
          <w:rStyle w:val="headlinestyle1"/>
        </w:rPr>
        <w:t xml:space="preserve">Henry Repeating Arms is pleased to introduce two new models to its expansive line of American-made firearms with the Long Ranger Express and the Brass Axe .410 Bore. These latest releases are a continuation of Henry Repeating Arms’ focus on customer feedback-driven product development. </w:t>
      </w:r>
    </w:p>
    <w:p w14:paraId="0C9494C2" w14:textId="77777777" w:rsidR="002D569D" w:rsidRPr="002D569D" w:rsidRDefault="002D569D" w:rsidP="002D569D">
      <w:pPr>
        <w:widowControl w:val="0"/>
        <w:autoSpaceDE w:val="0"/>
        <w:autoSpaceDN w:val="0"/>
        <w:adjustRightInd w:val="0"/>
        <w:rPr>
          <w:rStyle w:val="headlinestyle1"/>
        </w:rPr>
      </w:pPr>
    </w:p>
    <w:p w14:paraId="3B1B999D" w14:textId="052D8B1A" w:rsidR="002D569D" w:rsidRPr="002D569D" w:rsidRDefault="002D569D" w:rsidP="002D569D">
      <w:pPr>
        <w:widowControl w:val="0"/>
        <w:autoSpaceDE w:val="0"/>
        <w:autoSpaceDN w:val="0"/>
        <w:adjustRightInd w:val="0"/>
        <w:rPr>
          <w:rStyle w:val="headlinestyle1"/>
        </w:rPr>
      </w:pPr>
      <w:r w:rsidRPr="002D569D">
        <w:rPr>
          <w:rStyle w:val="headlinestyle1"/>
        </w:rPr>
        <w:t xml:space="preserve">The new Henry </w:t>
      </w:r>
      <w:hyperlink r:id="rId11" w:history="1">
        <w:r w:rsidRPr="00EA1C91">
          <w:rPr>
            <w:rStyle w:val="Hyperlink"/>
          </w:rPr>
          <w:t>Long Ranger Express</w:t>
        </w:r>
      </w:hyperlink>
      <w:r w:rsidRPr="002D569D">
        <w:rPr>
          <w:rStyle w:val="headlinestyle1"/>
        </w:rPr>
        <w:t>, chambered in .223 Rem/5.56 NATO, is a versatile, quick-handling carbine with a feature set aimed at property defense, predator hunting, and varmint control. The black anodized aerospace-grade aluminum receiver is factory mounted with a Picatinny rail for use with optics and accepts a 5-round steel-bodied detachable magazine. The 16.5” blued steel sporter barrel is threaded for use with a suppressor or other muzzle device and keeps the overall length down for maneuverability. The weather-resistant laminate furniture set features sling swivel studs and a solid rubber recoil pad. The manufacturer’s suggested retail price is $1,235.</w:t>
      </w:r>
    </w:p>
    <w:p w14:paraId="2CE0EC49" w14:textId="77777777" w:rsidR="002D569D" w:rsidRPr="002D569D" w:rsidRDefault="002D569D" w:rsidP="002D569D">
      <w:pPr>
        <w:widowControl w:val="0"/>
        <w:autoSpaceDE w:val="0"/>
        <w:autoSpaceDN w:val="0"/>
        <w:adjustRightInd w:val="0"/>
        <w:rPr>
          <w:rStyle w:val="headlinestyle1"/>
        </w:rPr>
      </w:pPr>
    </w:p>
    <w:p w14:paraId="4BD5749A" w14:textId="714D23D1" w:rsidR="002D569D" w:rsidRPr="002D569D" w:rsidRDefault="002D569D" w:rsidP="002D569D">
      <w:pPr>
        <w:widowControl w:val="0"/>
        <w:autoSpaceDE w:val="0"/>
        <w:autoSpaceDN w:val="0"/>
        <w:adjustRightInd w:val="0"/>
        <w:rPr>
          <w:rStyle w:val="headlinestyle1"/>
        </w:rPr>
      </w:pPr>
      <w:r w:rsidRPr="002D569D">
        <w:rPr>
          <w:rStyle w:val="headlinestyle1"/>
        </w:rPr>
        <w:t xml:space="preserve">First introduced in 2019, Henry’s Axe .410 is a lever action firearm featuring a 5-round capacity of 2 ½-inch .410 shells, a side loading gate, and its namesake “axe handle” grip. The new </w:t>
      </w:r>
      <w:hyperlink r:id="rId12" w:history="1">
        <w:r w:rsidRPr="00EA1C91">
          <w:rPr>
            <w:rStyle w:val="Hyperlink"/>
          </w:rPr>
          <w:t>Brass Axe .410</w:t>
        </w:r>
      </w:hyperlink>
      <w:r w:rsidRPr="002D569D">
        <w:rPr>
          <w:rStyle w:val="headlinestyle1"/>
        </w:rPr>
        <w:t xml:space="preserve"> features a polished hardened brass receiver and </w:t>
      </w:r>
      <w:proofErr w:type="spellStart"/>
      <w:r w:rsidRPr="002D569D">
        <w:rPr>
          <w:rStyle w:val="headlinestyle1"/>
        </w:rPr>
        <w:t>forend</w:t>
      </w:r>
      <w:proofErr w:type="spellEnd"/>
      <w:r w:rsidRPr="002D569D">
        <w:rPr>
          <w:rStyle w:val="headlinestyle1"/>
        </w:rPr>
        <w:t xml:space="preserve"> cap, genuine American walnut furniture, and a blued steel 15.14-inch barrel bringing the overall length to 26.4 inches. </w:t>
      </w:r>
      <w:r w:rsidR="000B62F3">
        <w:rPr>
          <w:rStyle w:val="headlinestyle1"/>
        </w:rPr>
        <w:t xml:space="preserve">The barrel is threaded for </w:t>
      </w:r>
      <w:proofErr w:type="spellStart"/>
      <w:r w:rsidR="000B62F3">
        <w:rPr>
          <w:rStyle w:val="headlinestyle1"/>
        </w:rPr>
        <w:t>Invector</w:t>
      </w:r>
      <w:proofErr w:type="spellEnd"/>
      <w:r w:rsidR="000B62F3">
        <w:rPr>
          <w:rStyle w:val="headlinestyle1"/>
        </w:rPr>
        <w:t xml:space="preserve"> style choke tubes with a Full choke included. </w:t>
      </w:r>
      <w:r w:rsidRPr="002D569D">
        <w:rPr>
          <w:rStyle w:val="headlinestyle1"/>
        </w:rPr>
        <w:t>The Brass Axe .410 is not regulated under the National Firearms Act and does not require a tax stamp to purchase, but other state or local classifications may restrict ownership. The manufacturer’s suggested retail price is $1,132.</w:t>
      </w:r>
    </w:p>
    <w:p w14:paraId="56E707BE" w14:textId="77777777" w:rsidR="002D569D" w:rsidRPr="002D569D" w:rsidRDefault="002D569D" w:rsidP="002D569D">
      <w:pPr>
        <w:widowControl w:val="0"/>
        <w:autoSpaceDE w:val="0"/>
        <w:autoSpaceDN w:val="0"/>
        <w:adjustRightInd w:val="0"/>
        <w:rPr>
          <w:rStyle w:val="headlinestyle1"/>
        </w:rPr>
      </w:pPr>
    </w:p>
    <w:p w14:paraId="55B02823" w14:textId="3F3E28A1" w:rsidR="00AF0F59" w:rsidRDefault="002D569D" w:rsidP="002D569D">
      <w:pPr>
        <w:widowControl w:val="0"/>
        <w:autoSpaceDE w:val="0"/>
        <w:autoSpaceDN w:val="0"/>
        <w:adjustRightInd w:val="0"/>
        <w:rPr>
          <w:rStyle w:val="headlinestyle1"/>
        </w:rPr>
      </w:pPr>
      <w:r w:rsidRPr="002D569D">
        <w:rPr>
          <w:rStyle w:val="headlinestyle1"/>
        </w:rPr>
        <w:t>Henry firearms are purchasable only through a federally licensed firearms dealer. For more information about Henry Repeating Arms and its products, visit henryusa.com or call 866-200-2354.</w:t>
      </w:r>
    </w:p>
    <w:p w14:paraId="4EA98D91" w14:textId="77777777" w:rsidR="00EA1C91" w:rsidRPr="00BE2614" w:rsidRDefault="00EA1C91" w:rsidP="002D569D">
      <w:pPr>
        <w:widowControl w:val="0"/>
        <w:autoSpaceDE w:val="0"/>
        <w:autoSpaceDN w:val="0"/>
        <w:adjustRightInd w:val="0"/>
        <w:rPr>
          <w:rStyle w:val="headlinestyle1"/>
        </w:rPr>
      </w:pP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0AA2611" w:rsidR="002C73EA" w:rsidRPr="00BE2614" w:rsidRDefault="002C73EA" w:rsidP="002C73EA">
      <w:pPr>
        <w:widowControl w:val="0"/>
        <w:autoSpaceDE w:val="0"/>
        <w:autoSpaceDN w:val="0"/>
        <w:adjustRightInd w:val="0"/>
      </w:pPr>
      <w:r w:rsidRPr="00BE2614">
        <w:rPr>
          <w:rStyle w:val="headlinestyle1"/>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BE2614">
        <w:rPr>
          <w:rStyle w:val="headlinestyle1"/>
        </w:rPr>
        <w:t>For</w:t>
      </w:r>
      <w:proofErr w:type="gramEnd"/>
      <w:r w:rsidRPr="00BE2614">
        <w:rPr>
          <w:rStyle w:val="headlinestyle1"/>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Pr>
          <w:rStyle w:val="headlinestyle1"/>
        </w:rPr>
        <w:t xml:space="preserve"> and America’s </w:t>
      </w:r>
      <w:r w:rsidRPr="00BE2614">
        <w:rPr>
          <w:rStyle w:val="headlinestyle1"/>
        </w:rPr>
        <w:t xml:space="preserve">unique contribution to </w:t>
      </w:r>
      <w:r w:rsidR="007C2DD4">
        <w:rPr>
          <w:rStyle w:val="headlinestyle1"/>
        </w:rPr>
        <w:t xml:space="preserve">the </w:t>
      </w:r>
      <w:r w:rsidRPr="00BE2614">
        <w:rPr>
          <w:rStyle w:val="headlinestyle1"/>
        </w:rPr>
        <w:t xml:space="preserve">international </w:t>
      </w:r>
      <w:r w:rsidR="007C2DD4">
        <w:rPr>
          <w:rStyle w:val="headlinestyle1"/>
        </w:rPr>
        <w:t xml:space="preserve">stage of </w:t>
      </w:r>
      <w:r w:rsidRPr="00BE2614">
        <w:rPr>
          <w:rStyle w:val="headlinestyle1"/>
        </w:rPr>
        <w:t>firearms design</w:t>
      </w:r>
      <w:r w:rsidR="007C2DD4">
        <w:rPr>
          <w:rStyle w:val="headlinestyle1"/>
        </w:rPr>
        <w:t xml:space="preserve">. </w:t>
      </w:r>
      <w:r w:rsidRPr="00BE2614">
        <w:rPr>
          <w:rStyle w:val="headlinestyle1"/>
        </w:rPr>
        <w:t>Visit Henry Repeating Arms online at</w:t>
      </w:r>
      <w:r>
        <w:rPr>
          <w:rStyle w:val="headlinestyle1"/>
        </w:rPr>
        <w:t xml:space="preserve"> </w:t>
      </w:r>
      <w:hyperlink r:id="rId13" w:history="1">
        <w:r w:rsidRPr="00BE2614">
          <w:rPr>
            <w:rStyle w:val="Hyperlink"/>
          </w:rPr>
          <w:t>henryusa.com</w:t>
        </w:r>
      </w:hyperlink>
      <w:r w:rsidRPr="00BE2614">
        <w:rPr>
          <w:rStyle w:val="headlinestyle1"/>
        </w:rPr>
        <w:t xml:space="preserve">, on Facebook at </w:t>
      </w:r>
      <w:hyperlink r:id="rId14" w:history="1">
        <w:r w:rsidRPr="00BE2614">
          <w:rPr>
            <w:rStyle w:val="Hyperlink"/>
          </w:rPr>
          <w:t>facebook.com/</w:t>
        </w:r>
        <w:proofErr w:type="spellStart"/>
        <w:r w:rsidRPr="00BE2614">
          <w:rPr>
            <w:rStyle w:val="Hyperlink"/>
          </w:rPr>
          <w:t>HenryRepeating</w:t>
        </w:r>
        <w:proofErr w:type="spellEnd"/>
      </w:hyperlink>
      <w:r w:rsidRPr="00BE2614">
        <w:rPr>
          <w:rStyle w:val="headlinestyle1"/>
        </w:rPr>
        <w:t xml:space="preserve">, and </w:t>
      </w:r>
      <w:hyperlink r:id="rId15"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77806" w14:textId="77777777" w:rsidR="00F56B0B" w:rsidRDefault="00F56B0B" w:rsidP="00122734">
      <w:r>
        <w:separator/>
      </w:r>
    </w:p>
  </w:endnote>
  <w:endnote w:type="continuationSeparator" w:id="0">
    <w:p w14:paraId="6A19ED09" w14:textId="77777777" w:rsidR="00F56B0B" w:rsidRDefault="00F56B0B"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44B9C" w14:textId="77777777" w:rsidR="00F56B0B" w:rsidRDefault="00F56B0B" w:rsidP="00122734">
      <w:r>
        <w:separator/>
      </w:r>
    </w:p>
  </w:footnote>
  <w:footnote w:type="continuationSeparator" w:id="0">
    <w:p w14:paraId="63286528" w14:textId="77777777" w:rsidR="00F56B0B" w:rsidRDefault="00F56B0B"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1078"/>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24E8"/>
    <w:rsid w:val="002C4D61"/>
    <w:rsid w:val="002C5382"/>
    <w:rsid w:val="002C6516"/>
    <w:rsid w:val="002C6BAD"/>
    <w:rsid w:val="002C73EA"/>
    <w:rsid w:val="002C740E"/>
    <w:rsid w:val="002D04EF"/>
    <w:rsid w:val="002D1B74"/>
    <w:rsid w:val="002D3D3D"/>
    <w:rsid w:val="002D44EF"/>
    <w:rsid w:val="002D569D"/>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44A4"/>
    <w:rsid w:val="004B6038"/>
    <w:rsid w:val="004C0A88"/>
    <w:rsid w:val="004C0DCF"/>
    <w:rsid w:val="004C3819"/>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6E8F"/>
    <w:rsid w:val="004F0AB9"/>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02B"/>
    <w:rsid w:val="00550D63"/>
    <w:rsid w:val="00551552"/>
    <w:rsid w:val="00551562"/>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6DE0"/>
    <w:rsid w:val="007C19F6"/>
    <w:rsid w:val="007C2DD4"/>
    <w:rsid w:val="007C3B40"/>
    <w:rsid w:val="007C43E9"/>
    <w:rsid w:val="007C65FF"/>
    <w:rsid w:val="007C6B92"/>
    <w:rsid w:val="007C75E5"/>
    <w:rsid w:val="007D17FF"/>
    <w:rsid w:val="007D5095"/>
    <w:rsid w:val="007D50C8"/>
    <w:rsid w:val="007D532E"/>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0183"/>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16C"/>
    <w:rsid w:val="009E4EEB"/>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52FF"/>
    <w:rsid w:val="00C25689"/>
    <w:rsid w:val="00C25699"/>
    <w:rsid w:val="00C265F6"/>
    <w:rsid w:val="00C27463"/>
    <w:rsid w:val="00C3122B"/>
    <w:rsid w:val="00C313FD"/>
    <w:rsid w:val="00C319FE"/>
    <w:rsid w:val="00C31BAF"/>
    <w:rsid w:val="00C31BB5"/>
    <w:rsid w:val="00C31D20"/>
    <w:rsid w:val="00C31E81"/>
    <w:rsid w:val="00C32C66"/>
    <w:rsid w:val="00C33A33"/>
    <w:rsid w:val="00C34297"/>
    <w:rsid w:val="00C34365"/>
    <w:rsid w:val="00C34701"/>
    <w:rsid w:val="00C42088"/>
    <w:rsid w:val="00C42355"/>
    <w:rsid w:val="00C424FB"/>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3199"/>
    <w:rsid w:val="00CB3214"/>
    <w:rsid w:val="00CC0FEF"/>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2DA5"/>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6601"/>
    <w:rsid w:val="00F47E73"/>
    <w:rsid w:val="00F47FBF"/>
    <w:rsid w:val="00F512BC"/>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BCA"/>
    <w:rsid w:val="00FC17A1"/>
    <w:rsid w:val="00FC5E08"/>
    <w:rsid w:val="00FC60E2"/>
    <w:rsid w:val="00FC7850"/>
    <w:rsid w:val="00FD071D"/>
    <w:rsid w:val="00FD6541"/>
    <w:rsid w:val="00FE081D"/>
    <w:rsid w:val="00FE1817"/>
    <w:rsid w:val="00FE4F61"/>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firearms/lever-action-axe-41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rifles/long-ranger-express/"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4</cp:revision>
  <dcterms:created xsi:type="dcterms:W3CDTF">2022-01-11T14:37:00Z</dcterms:created>
  <dcterms:modified xsi:type="dcterms:W3CDTF">2022-01-12T16:15:00Z</dcterms:modified>
</cp:coreProperties>
</file>